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Контрактная деятельность</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«Контрактная деятельность»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«Контрактная деятельность».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«Контрактная деятельность»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ценообразования на рынке (по направлениям)</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формировать начальную (максимальную) цену контракта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владеть навыками организации утверждения плана закупок и плана-графика</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владеть навыками определения и обоснования начальной (максимальной) цены контракта, в том числе заключаемого с единственным поставщиком (подрядчиком, исполнителем)</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«Контрактная деятельность» относится к обязательной части, является дисциплиной Блока Б1. «Дисциплины (модули)». Модуль "Основы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Принятие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Государственное регулирование экономики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(торгово- экономическая практика) 1</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Принятие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Государственное предпринимательство</w:t>
            </w:r>
          </w:p>
          <w:p>
            <w:pPr>
              <w:jc w:val="center"/>
              <w:spacing w:after="0" w:line="240" w:lineRule="auto"/>
              <w:rPr>
                <w:sz w:val="22"/>
                <w:szCs w:val="22"/>
              </w:rPr>
            </w:pPr>
            <w:r>
              <w:rPr>
                <w:rFonts w:ascii="Times New Roman" w:hAnsi="Times New Roman" w:cs="Times New Roman"/>
                <w:color w:val="#000000"/>
                <w:sz w:val="22"/>
                <w:szCs w:val="22"/>
              </w:rPr>
              <w:t> Контрактная деятельность</w:t>
            </w:r>
          </w:p>
          <w:p>
            <w:pPr>
              <w:jc w:val="center"/>
              <w:spacing w:after="0" w:line="240" w:lineRule="auto"/>
              <w:rPr>
                <w:sz w:val="22"/>
                <w:szCs w:val="22"/>
              </w:rPr>
            </w:pPr>
            <w:r>
              <w:rPr>
                <w:rFonts w:ascii="Times New Roman" w:hAnsi="Times New Roman" w:cs="Times New Roman"/>
                <w:color w:val="#000000"/>
                <w:sz w:val="22"/>
                <w:szCs w:val="22"/>
              </w:rPr>
              <w:t> Управление закупочной деятельностью</w:t>
            </w:r>
          </w:p>
          <w:p>
            <w:pPr>
              <w:jc w:val="center"/>
              <w:spacing w:after="0" w:line="240" w:lineRule="auto"/>
              <w:rPr>
                <w:sz w:val="22"/>
                <w:szCs w:val="22"/>
              </w:rPr>
            </w:pPr>
            <w:r>
              <w:rPr>
                <w:rFonts w:ascii="Times New Roman" w:hAnsi="Times New Roman" w:cs="Times New Roman"/>
                <w:color w:val="#000000"/>
                <w:sz w:val="22"/>
                <w:szCs w:val="22"/>
              </w:rPr>
              <w:t> Государственный контроль в профессиональной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3"/>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основы контрактной деятельности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обоснование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Участники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законодательства РФ, регламентирующая</w:t>
            </w:r>
          </w:p>
          <w:p>
            <w:pPr>
              <w:jc w:val="left"/>
              <w:spacing w:after="0" w:line="240" w:lineRule="auto"/>
              <w:rPr>
                <w:sz w:val="24"/>
                <w:szCs w:val="24"/>
              </w:rPr>
            </w:pPr>
            <w:r>
              <w:rPr>
                <w:rFonts w:ascii="Times New Roman" w:hAnsi="Times New Roman" w:cs="Times New Roman"/>
                <w:color w:val="#000000"/>
                <w:sz w:val="24"/>
                <w:szCs w:val="24"/>
              </w:rPr>
              <w:t> закупочную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698.7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основы контрактной деятельности в РФ</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Действующая российская нормативная</w:t>
            </w:r>
          </w:p>
          <w:p>
            <w:pPr>
              <w:jc w:val="both"/>
              <w:spacing w:after="0" w:line="240" w:lineRule="auto"/>
              <w:rPr>
                <w:sz w:val="24"/>
                <w:szCs w:val="24"/>
              </w:rPr>
            </w:pPr>
            <w:r>
              <w:rPr>
                <w:rFonts w:ascii="Times New Roman" w:hAnsi="Times New Roman" w:cs="Times New Roman"/>
                <w:color w:val="#000000"/>
                <w:sz w:val="24"/>
                <w:szCs w:val="24"/>
              </w:rPr>
              <w:t> правовая база, регламентирующая</w:t>
            </w:r>
          </w:p>
          <w:p>
            <w:pPr>
              <w:jc w:val="both"/>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both"/>
              <w:spacing w:after="0" w:line="240" w:lineRule="auto"/>
              <w:rPr>
                <w:sz w:val="24"/>
                <w:szCs w:val="24"/>
              </w:rPr>
            </w:pPr>
            <w:r>
              <w:rPr>
                <w:rFonts w:ascii="Times New Roman" w:hAnsi="Times New Roman" w:cs="Times New Roman"/>
                <w:color w:val="#000000"/>
                <w:sz w:val="24"/>
                <w:szCs w:val="24"/>
              </w:rPr>
              <w:t> услуг. Нормативные</w:t>
            </w:r>
          </w:p>
          <w:p>
            <w:pPr>
              <w:jc w:val="both"/>
              <w:spacing w:after="0" w:line="240" w:lineRule="auto"/>
              <w:rPr>
                <w:sz w:val="24"/>
                <w:szCs w:val="24"/>
              </w:rPr>
            </w:pPr>
            <w:r>
              <w:rPr>
                <w:rFonts w:ascii="Times New Roman" w:hAnsi="Times New Roman" w:cs="Times New Roman"/>
                <w:color w:val="#000000"/>
                <w:sz w:val="24"/>
                <w:szCs w:val="24"/>
              </w:rPr>
              <w:t> правовые акты, принятые в развитие</w:t>
            </w:r>
          </w:p>
          <w:p>
            <w:pPr>
              <w:jc w:val="both"/>
              <w:spacing w:after="0" w:line="240" w:lineRule="auto"/>
              <w:rPr>
                <w:sz w:val="24"/>
                <w:szCs w:val="24"/>
              </w:rPr>
            </w:pPr>
            <w:r>
              <w:rPr>
                <w:rFonts w:ascii="Times New Roman" w:hAnsi="Times New Roman" w:cs="Times New Roman"/>
                <w:color w:val="#000000"/>
                <w:sz w:val="24"/>
                <w:szCs w:val="24"/>
              </w:rPr>
              <w:t> законодательства, регулирующего закупки</w:t>
            </w:r>
          </w:p>
          <w:p>
            <w:pPr>
              <w:jc w:val="both"/>
              <w:spacing w:after="0" w:line="240" w:lineRule="auto"/>
              <w:rPr>
                <w:sz w:val="24"/>
                <w:szCs w:val="24"/>
              </w:rPr>
            </w:pPr>
            <w:r>
              <w:rPr>
                <w:rFonts w:ascii="Times New Roman" w:hAnsi="Times New Roman" w:cs="Times New Roman"/>
                <w:color w:val="#000000"/>
                <w:sz w:val="24"/>
                <w:szCs w:val="24"/>
              </w:rPr>
              <w:t> товаров, работ, услуг для государственных</w:t>
            </w:r>
          </w:p>
          <w:p>
            <w:pPr>
              <w:jc w:val="both"/>
              <w:spacing w:after="0" w:line="240" w:lineRule="auto"/>
              <w:rPr>
                <w:sz w:val="24"/>
                <w:szCs w:val="24"/>
              </w:rPr>
            </w:pPr>
            <w:r>
              <w:rPr>
                <w:rFonts w:ascii="Times New Roman" w:hAnsi="Times New Roman" w:cs="Times New Roman"/>
                <w:color w:val="#000000"/>
                <w:sz w:val="24"/>
                <w:szCs w:val="24"/>
              </w:rPr>
              <w:t> и муниципальных нужд. Применение</w:t>
            </w:r>
          </w:p>
          <w:p>
            <w:pPr>
              <w:jc w:val="both"/>
              <w:spacing w:after="0" w:line="240" w:lineRule="auto"/>
              <w:rPr>
                <w:sz w:val="24"/>
                <w:szCs w:val="24"/>
              </w:rPr>
            </w:pPr>
            <w:r>
              <w:rPr>
                <w:rFonts w:ascii="Times New Roman" w:hAnsi="Times New Roman" w:cs="Times New Roman"/>
                <w:color w:val="#000000"/>
                <w:sz w:val="24"/>
                <w:szCs w:val="24"/>
              </w:rPr>
              <w:t> антимонопольного законодательства при</w:t>
            </w:r>
          </w:p>
          <w:p>
            <w:pPr>
              <w:jc w:val="both"/>
              <w:spacing w:after="0" w:line="240" w:lineRule="auto"/>
              <w:rPr>
                <w:sz w:val="24"/>
                <w:szCs w:val="24"/>
              </w:rPr>
            </w:pPr>
            <w:r>
              <w:rPr>
                <w:rFonts w:ascii="Times New Roman" w:hAnsi="Times New Roman" w:cs="Times New Roman"/>
                <w:color w:val="#000000"/>
                <w:sz w:val="24"/>
                <w:szCs w:val="24"/>
              </w:rPr>
              <w:t> осуществлении закупок товаров, работ и</w:t>
            </w:r>
          </w:p>
          <w:p>
            <w:pPr>
              <w:jc w:val="both"/>
              <w:spacing w:after="0" w:line="240" w:lineRule="auto"/>
              <w:rPr>
                <w:sz w:val="24"/>
                <w:szCs w:val="24"/>
              </w:rPr>
            </w:pPr>
            <w:r>
              <w:rPr>
                <w:rFonts w:ascii="Times New Roman" w:hAnsi="Times New Roman" w:cs="Times New Roman"/>
                <w:color w:val="#000000"/>
                <w:sz w:val="24"/>
                <w:szCs w:val="24"/>
              </w:rPr>
              <w:t> услуг.</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 обоснование  закупок</w:t>
            </w:r>
          </w:p>
        </w:tc>
      </w:tr>
      <w:tr>
        <w:trPr>
          <w:trHeight w:hRule="exact" w:val="547.86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и обоснование закупок.</w:t>
            </w:r>
          </w:p>
          <w:p>
            <w:pPr>
              <w:jc w:val="both"/>
              <w:spacing w:after="0" w:line="240" w:lineRule="auto"/>
              <w:rPr>
                <w:sz w:val="24"/>
                <w:szCs w:val="24"/>
              </w:rPr>
            </w:pPr>
            <w:r>
              <w:rPr>
                <w:rFonts w:ascii="Times New Roman" w:hAnsi="Times New Roman" w:cs="Times New Roman"/>
                <w:color w:val="#000000"/>
                <w:sz w:val="24"/>
                <w:szCs w:val="24"/>
              </w:rPr>
              <w:t> Понятия начальной (максимальной) цены контракта, цены контракта, заключаемого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единственным поставщиком (подрядчиком,</w:t>
            </w:r>
          </w:p>
          <w:p>
            <w:pPr>
              <w:jc w:val="both"/>
              <w:spacing w:after="0" w:line="240" w:lineRule="auto"/>
              <w:rPr>
                <w:sz w:val="24"/>
                <w:szCs w:val="24"/>
              </w:rPr>
            </w:pPr>
            <w:r>
              <w:rPr>
                <w:rFonts w:ascii="Times New Roman" w:hAnsi="Times New Roman" w:cs="Times New Roman"/>
                <w:color w:val="#000000"/>
                <w:sz w:val="24"/>
                <w:szCs w:val="24"/>
              </w:rPr>
              <w:t> исполнителем), назначение НМЦК, методы</w:t>
            </w:r>
          </w:p>
          <w:p>
            <w:pPr>
              <w:jc w:val="both"/>
              <w:spacing w:after="0" w:line="240" w:lineRule="auto"/>
              <w:rPr>
                <w:sz w:val="24"/>
                <w:szCs w:val="24"/>
              </w:rPr>
            </w:pPr>
            <w:r>
              <w:rPr>
                <w:rFonts w:ascii="Times New Roman" w:hAnsi="Times New Roman" w:cs="Times New Roman"/>
                <w:color w:val="#000000"/>
                <w:sz w:val="24"/>
                <w:szCs w:val="24"/>
              </w:rPr>
              <w:t> обоснования и определения НМЦК и цены</w:t>
            </w:r>
          </w:p>
          <w:p>
            <w:pPr>
              <w:jc w:val="both"/>
              <w:spacing w:after="0" w:line="240" w:lineRule="auto"/>
              <w:rPr>
                <w:sz w:val="24"/>
                <w:szCs w:val="24"/>
              </w:rPr>
            </w:pPr>
            <w:r>
              <w:rPr>
                <w:rFonts w:ascii="Times New Roman" w:hAnsi="Times New Roman" w:cs="Times New Roman"/>
                <w:color w:val="#000000"/>
                <w:sz w:val="24"/>
                <w:szCs w:val="24"/>
              </w:rPr>
              <w:t> контракта, заключаемого с единственным</w:t>
            </w:r>
          </w:p>
          <w:p>
            <w:pPr>
              <w:jc w:val="both"/>
              <w:spacing w:after="0" w:line="240" w:lineRule="auto"/>
              <w:rPr>
                <w:sz w:val="24"/>
                <w:szCs w:val="24"/>
              </w:rPr>
            </w:pPr>
            <w:r>
              <w:rPr>
                <w:rFonts w:ascii="Times New Roman" w:hAnsi="Times New Roman" w:cs="Times New Roman"/>
                <w:color w:val="#000000"/>
                <w:sz w:val="24"/>
                <w:szCs w:val="24"/>
              </w:rPr>
              <w:t> поставщиком (подрядчиком,</w:t>
            </w:r>
          </w:p>
          <w:p>
            <w:pPr>
              <w:jc w:val="both"/>
              <w:spacing w:after="0" w:line="240" w:lineRule="auto"/>
              <w:rPr>
                <w:sz w:val="24"/>
                <w:szCs w:val="24"/>
              </w:rPr>
            </w:pPr>
            <w:r>
              <w:rPr>
                <w:rFonts w:ascii="Times New Roman" w:hAnsi="Times New Roman" w:cs="Times New Roman"/>
                <w:color w:val="#000000"/>
                <w:sz w:val="24"/>
                <w:szCs w:val="24"/>
              </w:rPr>
              <w:t> исполнителем.</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Участники контрактной системы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участников контрактной системы, их права и обязанности</w:t>
            </w:r>
          </w:p>
        </w:tc>
      </w:tr>
      <w:tr>
        <w:trPr>
          <w:trHeight w:hRule="exact" w:val="14.70022"/>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законодательства РФ, регламентирующая</w:t>
            </w:r>
          </w:p>
          <w:p>
            <w:pPr>
              <w:jc w:val="center"/>
              <w:spacing w:after="0" w:line="240" w:lineRule="auto"/>
              <w:rPr>
                <w:sz w:val="24"/>
                <w:szCs w:val="24"/>
              </w:rPr>
            </w:pPr>
            <w:r>
              <w:rPr>
                <w:rFonts w:ascii="Times New Roman" w:hAnsi="Times New Roman" w:cs="Times New Roman"/>
                <w:b/>
                <w:color w:val="#000000"/>
                <w:sz w:val="24"/>
                <w:szCs w:val="24"/>
              </w:rPr>
              <w:t> закупочную деятельность</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нормативной</w:t>
            </w:r>
          </w:p>
          <w:p>
            <w:pPr>
              <w:jc w:val="both"/>
              <w:spacing w:after="0" w:line="240" w:lineRule="auto"/>
              <w:rPr>
                <w:sz w:val="24"/>
                <w:szCs w:val="24"/>
              </w:rPr>
            </w:pPr>
            <w:r>
              <w:rPr>
                <w:rFonts w:ascii="Times New Roman" w:hAnsi="Times New Roman" w:cs="Times New Roman"/>
                <w:color w:val="#000000"/>
                <w:sz w:val="24"/>
                <w:szCs w:val="24"/>
              </w:rPr>
              <w:t> правовой базы, регламентирующей</w:t>
            </w:r>
          </w:p>
          <w:p>
            <w:pPr>
              <w:jc w:val="both"/>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both"/>
              <w:spacing w:after="0" w:line="240" w:lineRule="auto"/>
              <w:rPr>
                <w:sz w:val="24"/>
                <w:szCs w:val="24"/>
              </w:rPr>
            </w:pPr>
            <w:r>
              <w:rPr>
                <w:rFonts w:ascii="Times New Roman" w:hAnsi="Times New Roman" w:cs="Times New Roman"/>
                <w:color w:val="#000000"/>
                <w:sz w:val="24"/>
                <w:szCs w:val="24"/>
              </w:rPr>
              <w:t> услуг в РФ.</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«Контрактная деятельность»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https://urait.ru/bcode/489788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978-5-534-14947-0.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https://urait.ru/bcode/495098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контракт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гражданском</w:t>
            </w:r>
            <w:r>
              <w:rPr/>
              <w:t xml:space="preserve"> </w:t>
            </w:r>
            <w:r>
              <w:rPr>
                <w:rFonts w:ascii="Times New Roman" w:hAnsi="Times New Roman" w:cs="Times New Roman"/>
                <w:color w:val="#000000"/>
                <w:sz w:val="24"/>
                <w:szCs w:val="24"/>
              </w:rPr>
              <w:t>праве</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контракт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гражданском</w:t>
            </w:r>
            <w:r>
              <w:rPr/>
              <w:t xml:space="preserve"> </w:t>
            </w:r>
            <w:r>
              <w:rPr>
                <w:rFonts w:ascii="Times New Roman" w:hAnsi="Times New Roman" w:cs="Times New Roman"/>
                <w:color w:val="#000000"/>
                <w:sz w:val="24"/>
                <w:szCs w:val="24"/>
              </w:rPr>
              <w:t>праве</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Статут,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978-5-8354-1625-7.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http://www.iprbookshop.ru/98296.html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290.326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https://urait.ru/bcode/475424</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13.1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2023-2024_ФГОС3++2023_Бак-ЗФО-ТД(ОиУЗД)(23)_plx_Контрактная деятельность</dc:title>
  <dc:creator>FastReport.NET</dc:creator>
</cp:coreProperties>
</file>